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广州城市水处理设备有限公司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2023年公务车租赁服务项目（第二次）</w:t>
      </w:r>
    </w:p>
    <w:p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询价公告</w:t>
      </w:r>
    </w:p>
    <w:p>
      <w:pPr>
        <w:pStyle w:val="3"/>
        <w:rPr>
          <w:rFonts w:hint="eastAsia"/>
          <w:lang w:val="en-US" w:eastAsia="zh-CN"/>
        </w:rPr>
      </w:pPr>
    </w:p>
    <w:p>
      <w:pPr>
        <w:ind w:firstLine="640" w:firstLineChars="2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现我公司对广州城市水处理设备有限公司2023年公务车租赁服务项目（第二次）进行询价，详见附件-询价文件，请有意向的报价单位自行下载询价文件。询价响应文件递交时间：2023年 9月27日8时30分至9时59分，询价响应文件递交截止时间:2023年9月27</w:t>
      </w:r>
      <w:bookmarkStart w:id="0" w:name="_GoBack"/>
      <w:bookmarkEnd w:id="0"/>
      <w:r>
        <w:rPr>
          <w:rFonts w:hint="eastAsia"/>
          <w:sz w:val="32"/>
          <w:szCs w:val="32"/>
          <w:lang w:val="en-US" w:eastAsia="zh-CN"/>
        </w:rPr>
        <w:t xml:space="preserve">日11时00分。 </w:t>
      </w:r>
    </w:p>
    <w:p>
      <w:pPr>
        <w:pStyle w:val="3"/>
        <w:rPr>
          <w:rFonts w:hint="eastAsia"/>
          <w:sz w:val="32"/>
          <w:szCs w:val="32"/>
          <w:lang w:val="en-US" w:eastAsia="zh-CN"/>
        </w:rPr>
      </w:pPr>
    </w:p>
    <w:p>
      <w:pPr>
        <w:pStyle w:val="3"/>
        <w:rPr>
          <w:rFonts w:hint="default"/>
          <w:sz w:val="32"/>
          <w:szCs w:val="32"/>
          <w:lang w:val="en-US" w:eastAsia="zh-CN"/>
        </w:rPr>
      </w:pPr>
    </w:p>
    <w:p>
      <w:pPr>
        <w:ind w:left="5118" w:leftChars="304" w:hanging="4480" w:hangingChars="1400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         广州城市水处理设备有限公司                         2023年9月 20日</w:t>
      </w:r>
    </w:p>
    <w:p>
      <w:pPr>
        <w:jc w:val="center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（备注：询价文件下载时间为公告发布日起七个日历天）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